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704852FA" w:rsidR="00120B17" w:rsidRDefault="00961DA0" w:rsidP="00465CE0">
            <w:r>
              <w:t>5/10/2023</w:t>
            </w:r>
            <w:r w:rsidR="006E44B4">
              <w:t>, 2:</w:t>
            </w:r>
            <w:r w:rsidR="0063055D">
              <w:t>00-3:00</w:t>
            </w:r>
            <w:r w:rsidR="006E44B4">
              <w:t xml:space="preserve"> 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2F96DCEA" w:rsidR="00120B17" w:rsidRDefault="00716986" w:rsidP="00465CE0">
            <w:r>
              <w:t xml:space="preserve">Dan Hall, </w:t>
            </w:r>
            <w:r w:rsidR="006E44B4">
              <w:t>Lori Peterson, Rachel Warren, Morgan Sandvick, Luke Fidge, David Johnson,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>
              <w:t xml:space="preserve">, </w:t>
            </w:r>
            <w:r w:rsidR="00BF5F5C">
              <w:t>Stacey (Simeon) Hall</w:t>
            </w:r>
            <w:r w:rsidR="008D48D3">
              <w:t xml:space="preserve">, </w:t>
            </w:r>
            <w:r w:rsidR="00465874">
              <w:t>Tyler Cox</w:t>
            </w:r>
            <w:r w:rsidR="00961DA0">
              <w:t xml:space="preserve">, </w:t>
            </w:r>
            <w:r w:rsidR="00961DA0">
              <w:t>Brooke Marshall, Stephanie Groom</w:t>
            </w:r>
            <w:r w:rsidR="00C461D5">
              <w:t xml:space="preserve">.  Unable to attend:  </w:t>
            </w:r>
            <w:r w:rsidR="00961DA0">
              <w:t>Chad Miltenberger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6BA67F98" w:rsidR="008E7E8A" w:rsidRDefault="006E44B4" w:rsidP="00465CE0">
            <w:r>
              <w:t xml:space="preserve">Walla Walla Campus, </w:t>
            </w:r>
            <w:r w:rsidR="008D687C">
              <w:t>WEC</w:t>
            </w:r>
            <w:r>
              <w:t xml:space="preserve">, Room </w:t>
            </w:r>
            <w:r w:rsidR="008D687C">
              <w:t>2017</w:t>
            </w:r>
          </w:p>
        </w:tc>
      </w:tr>
      <w:tr w:rsidR="008E7E8A" w14:paraId="0A8AA3E6" w14:textId="77777777" w:rsidTr="006E44B4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490240A1" w:rsidR="008E7E8A" w:rsidRPr="00716986" w:rsidRDefault="008A7A06" w:rsidP="00465CE0">
            <w:hyperlink r:id="rId8" w:history="1">
              <w:r w:rsidR="00716986">
                <w:rPr>
                  <w:rStyle w:val="Hyperlink"/>
                </w:rPr>
                <w:t>https://wwcc-edu.zoom.us/j/89816966542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C461D5" w14:paraId="7ABCE21E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35CED66E" w:rsidR="00C461D5" w:rsidRPr="004F1A78" w:rsidRDefault="00C461D5" w:rsidP="00C461D5">
            <w:pPr>
              <w:jc w:val="center"/>
            </w:pPr>
            <w:r>
              <w:t>Dan/Lori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479A8EE2" w:rsidR="00C461D5" w:rsidRPr="00195D02" w:rsidRDefault="00C461D5" w:rsidP="00C461D5">
            <w:r>
              <w:t xml:space="preserve">Budget Updates </w:t>
            </w:r>
          </w:p>
        </w:tc>
        <w:tc>
          <w:tcPr>
            <w:tcW w:w="5679" w:type="dxa"/>
            <w:gridSpan w:val="4"/>
            <w:vAlign w:val="center"/>
          </w:tcPr>
          <w:p w14:paraId="45D4408B" w14:textId="0298FBC0" w:rsidR="00C461D5" w:rsidRPr="00DD6AFC" w:rsidRDefault="008A7A06" w:rsidP="00C461D5">
            <w:r>
              <w:t>Review of 1</w:t>
            </w:r>
            <w:r w:rsidRPr="008A7A06">
              <w:rPr>
                <w:vertAlign w:val="superscript"/>
              </w:rPr>
              <w:t>st</w:t>
            </w:r>
            <w:r>
              <w:t xml:space="preserve"> draft of the state allocation; what we know and what is still unknown, review current status of the FY24 draft budget and year end forecast for FY23 </w:t>
            </w:r>
          </w:p>
        </w:tc>
      </w:tr>
      <w:tr w:rsidR="00C461D5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3C34DBAD" w:rsidR="00C461D5" w:rsidRPr="004F1A78" w:rsidRDefault="00961DA0" w:rsidP="00C461D5">
            <w:pPr>
              <w:jc w:val="center"/>
            </w:pPr>
            <w:r>
              <w:t>Dan/Lori</w:t>
            </w:r>
          </w:p>
        </w:tc>
        <w:tc>
          <w:tcPr>
            <w:tcW w:w="3233" w:type="dxa"/>
            <w:gridSpan w:val="2"/>
            <w:vAlign w:val="center"/>
          </w:tcPr>
          <w:p w14:paraId="2DCEF475" w14:textId="14E8F311" w:rsidR="00C461D5" w:rsidRDefault="00961DA0" w:rsidP="00C461D5">
            <w:r>
              <w:t>Review/Adopt Draft Charter</w:t>
            </w:r>
          </w:p>
        </w:tc>
        <w:tc>
          <w:tcPr>
            <w:tcW w:w="5679" w:type="dxa"/>
            <w:gridSpan w:val="4"/>
            <w:vAlign w:val="center"/>
          </w:tcPr>
          <w:p w14:paraId="7784F1F6" w14:textId="2A4C5F89" w:rsidR="00C461D5" w:rsidRDefault="00C461D5" w:rsidP="00C461D5"/>
        </w:tc>
      </w:tr>
      <w:tr w:rsidR="00C461D5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284F9B64" w:rsidR="00C461D5" w:rsidRPr="004F1A78" w:rsidRDefault="00C461D5" w:rsidP="00C461D5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7C1EADB8" w14:textId="721B9C7F" w:rsidR="00C461D5" w:rsidRDefault="00C461D5" w:rsidP="00C461D5"/>
        </w:tc>
        <w:tc>
          <w:tcPr>
            <w:tcW w:w="5679" w:type="dxa"/>
            <w:gridSpan w:val="4"/>
            <w:vAlign w:val="center"/>
          </w:tcPr>
          <w:p w14:paraId="3FFB57BE" w14:textId="2C025FA2" w:rsidR="00C461D5" w:rsidRDefault="00C461D5" w:rsidP="00C461D5">
            <w:pPr>
              <w:pStyle w:val="ListParagraph"/>
              <w:ind w:left="0"/>
            </w:pPr>
          </w:p>
        </w:tc>
      </w:tr>
      <w:tr w:rsidR="00C461D5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61058669" w:rsidR="00C461D5" w:rsidRPr="001F395A" w:rsidRDefault="00C461D5" w:rsidP="00C461D5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651782BC" w14:textId="4E990FF2" w:rsidR="00C461D5" w:rsidRDefault="00C461D5" w:rsidP="00C461D5"/>
        </w:tc>
        <w:tc>
          <w:tcPr>
            <w:tcW w:w="5679" w:type="dxa"/>
            <w:gridSpan w:val="4"/>
            <w:vAlign w:val="center"/>
          </w:tcPr>
          <w:p w14:paraId="51FF484D" w14:textId="24B9536C" w:rsidR="00C461D5" w:rsidRDefault="00C461D5" w:rsidP="00C461D5"/>
        </w:tc>
      </w:tr>
      <w:tr w:rsidR="00C461D5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C461D5" w:rsidRPr="00465CE0" w:rsidRDefault="00C461D5" w:rsidP="00C461D5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0ABFFDC1" w:rsidR="00C461D5" w:rsidRDefault="008A7A06" w:rsidP="00C461D5">
            <w:r>
              <w:t>5/24</w:t>
            </w:r>
            <w:r w:rsidR="00C461D5">
              <w:t xml:space="preserve">/2023, </w:t>
            </w:r>
            <w:r>
              <w:t>2:00-3:00</w:t>
            </w:r>
            <w:r w:rsidR="00C461D5">
              <w:t xml:space="preserve"> pm (</w:t>
            </w:r>
            <w:r>
              <w:t>WEC Room 2017</w:t>
            </w:r>
            <w:r w:rsidR="00C461D5">
              <w:t>)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5F4B4264" w:rsidR="00C461D5" w:rsidRDefault="008A7A06" w:rsidP="00C461D5">
            <w:r>
              <w:t>First read of FY24 budget will occur at the board meeting on the 24</w:t>
            </w:r>
            <w:r w:rsidRPr="008A7A06">
              <w:rPr>
                <w:vertAlign w:val="superscript"/>
              </w:rPr>
              <w:t>th</w:t>
            </w:r>
            <w:r>
              <w:t>; we’ll likely review what was presented</w:t>
            </w:r>
            <w:bookmarkStart w:id="0" w:name="_GoBack"/>
            <w:bookmarkEnd w:id="0"/>
          </w:p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71C7"/>
    <w:multiLevelType w:val="hybridMultilevel"/>
    <w:tmpl w:val="3B2E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B7CF8"/>
    <w:rsid w:val="000F7F1D"/>
    <w:rsid w:val="001015E7"/>
    <w:rsid w:val="00120B17"/>
    <w:rsid w:val="001316C5"/>
    <w:rsid w:val="00143318"/>
    <w:rsid w:val="0018014F"/>
    <w:rsid w:val="00194220"/>
    <w:rsid w:val="00195D02"/>
    <w:rsid w:val="0019780C"/>
    <w:rsid w:val="001A4EF7"/>
    <w:rsid w:val="001E227F"/>
    <w:rsid w:val="001F395A"/>
    <w:rsid w:val="002026E8"/>
    <w:rsid w:val="00212924"/>
    <w:rsid w:val="002171DC"/>
    <w:rsid w:val="002256D6"/>
    <w:rsid w:val="00233485"/>
    <w:rsid w:val="002E3BBA"/>
    <w:rsid w:val="00340FEC"/>
    <w:rsid w:val="00391227"/>
    <w:rsid w:val="00391FE3"/>
    <w:rsid w:val="003F020A"/>
    <w:rsid w:val="004004F3"/>
    <w:rsid w:val="00465874"/>
    <w:rsid w:val="00465CE0"/>
    <w:rsid w:val="004B750A"/>
    <w:rsid w:val="004D2432"/>
    <w:rsid w:val="004D640F"/>
    <w:rsid w:val="004F1A78"/>
    <w:rsid w:val="004F7002"/>
    <w:rsid w:val="005102B3"/>
    <w:rsid w:val="00512316"/>
    <w:rsid w:val="005B040A"/>
    <w:rsid w:val="00607EF1"/>
    <w:rsid w:val="0063055D"/>
    <w:rsid w:val="006511EE"/>
    <w:rsid w:val="00657505"/>
    <w:rsid w:val="00660920"/>
    <w:rsid w:val="006645A5"/>
    <w:rsid w:val="006E44B4"/>
    <w:rsid w:val="00710D0B"/>
    <w:rsid w:val="00716986"/>
    <w:rsid w:val="00777249"/>
    <w:rsid w:val="0078394D"/>
    <w:rsid w:val="007C0AD3"/>
    <w:rsid w:val="007F1B7F"/>
    <w:rsid w:val="00861577"/>
    <w:rsid w:val="00864A03"/>
    <w:rsid w:val="00884922"/>
    <w:rsid w:val="008A4DA2"/>
    <w:rsid w:val="008A7A06"/>
    <w:rsid w:val="008D48D3"/>
    <w:rsid w:val="008D687C"/>
    <w:rsid w:val="008E7E8A"/>
    <w:rsid w:val="00961DA0"/>
    <w:rsid w:val="009A0846"/>
    <w:rsid w:val="009A0F6F"/>
    <w:rsid w:val="009F6478"/>
    <w:rsid w:val="00A37CAC"/>
    <w:rsid w:val="00A81D03"/>
    <w:rsid w:val="00A86C6E"/>
    <w:rsid w:val="00AC3C8A"/>
    <w:rsid w:val="00AD1576"/>
    <w:rsid w:val="00AF0DF3"/>
    <w:rsid w:val="00B335E3"/>
    <w:rsid w:val="00B47D38"/>
    <w:rsid w:val="00B64A3F"/>
    <w:rsid w:val="00BA69C2"/>
    <w:rsid w:val="00BB4678"/>
    <w:rsid w:val="00BD25CB"/>
    <w:rsid w:val="00BD6EC0"/>
    <w:rsid w:val="00BE3EF4"/>
    <w:rsid w:val="00BF1D77"/>
    <w:rsid w:val="00BF5F5C"/>
    <w:rsid w:val="00C44809"/>
    <w:rsid w:val="00C461D5"/>
    <w:rsid w:val="00CC1A0D"/>
    <w:rsid w:val="00D16357"/>
    <w:rsid w:val="00D17B9E"/>
    <w:rsid w:val="00D3149C"/>
    <w:rsid w:val="00D4074F"/>
    <w:rsid w:val="00D4738E"/>
    <w:rsid w:val="00D50A6F"/>
    <w:rsid w:val="00D71538"/>
    <w:rsid w:val="00D7734D"/>
    <w:rsid w:val="00D90272"/>
    <w:rsid w:val="00DD6AFC"/>
    <w:rsid w:val="00E17055"/>
    <w:rsid w:val="00E80E54"/>
    <w:rsid w:val="00F521D6"/>
    <w:rsid w:val="00F52D6A"/>
    <w:rsid w:val="00F55107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cc-edu.zoom.us%2Fj%2F89816966542&amp;data=05%7C01%7Clori.peterson%40wwcc.edu%7C8f16fa5a5d19487edb7308db1ab44129%7Ce7d34588679e4041a6e258174c25b17e%7C0%7C0%7C638133133722891589%7CUnknown%7CTWFpbGZsb3d8eyJWIjoiMC4wLjAwMDAiLCJQIjoiV2luMzIiLCJBTiI6Ik1haWwiLCJXVCI6Mn0%3D%7C3000%7C%7C%7C&amp;sdata=%2BwyOv3biSD7%2FthhnBkZ3OAKGGRTJ1e5RgqYRLCO8uD4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A20B41D62C44B43C47696E952B7A" ma:contentTypeVersion="8" ma:contentTypeDescription="Create a new document." ma:contentTypeScope="" ma:versionID="9f04cdc0365e1716eb590399b4c217c0">
  <xsd:schema xmlns:xsd="http://www.w3.org/2001/XMLSchema" xmlns:xs="http://www.w3.org/2001/XMLSchema" xmlns:p="http://schemas.microsoft.com/office/2006/metadata/properties" xmlns:ns2="c06e9f33-45ce-4a81-9f2e-c2949730042e" xmlns:ns3="68ccd238-f036-4b17-a247-40ae73200542" targetNamespace="http://schemas.microsoft.com/office/2006/metadata/properties" ma:root="true" ma:fieldsID="13a9fb2f23a50806e3ee5a3ae42dfa0b" ns2:_="" ns3:_="">
    <xsd:import namespace="c06e9f33-45ce-4a81-9f2e-c2949730042e"/>
    <xsd:import namespace="68ccd238-f036-4b17-a247-40ae7320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9f33-45ce-4a81-9f2e-c2949730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d238-f036-4b17-a247-40ae7320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3118B-9A55-411C-AEB2-22621EEF60DA}">
  <ds:schemaRefs>
    <ds:schemaRef ds:uri="http://schemas.microsoft.com/office/2006/metadata/properties"/>
    <ds:schemaRef ds:uri="http://purl.org/dc/terms/"/>
    <ds:schemaRef ds:uri="c06e9f33-45ce-4a81-9f2e-c2949730042e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8ccd238-f036-4b17-a247-40ae7320054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89BA47-2EF3-4CB2-BD76-5450FD2F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9f33-45ce-4a81-9f2e-c2949730042e"/>
    <ds:schemaRef ds:uri="68ccd238-f036-4b17-a247-40ae7320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3</cp:revision>
  <cp:lastPrinted>2023-03-15T18:37:00Z</cp:lastPrinted>
  <dcterms:created xsi:type="dcterms:W3CDTF">2023-05-10T15:15:00Z</dcterms:created>
  <dcterms:modified xsi:type="dcterms:W3CDTF">2023-05-10T16:26:00Z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0x01010054C0A20B41D62C44B43C47696E952B7A</vt:lpwstr>
  </property>
</Properties>
</file>