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1C0E270C" w:rsidR="00120B17" w:rsidRDefault="008D687C" w:rsidP="00465CE0">
            <w:r>
              <w:t>3/29</w:t>
            </w:r>
            <w:r w:rsidR="006E44B4">
              <w:t>/2023,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3B420E3B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BF5F5C">
              <w:t>Stacey (Simeon) Hall</w:t>
            </w:r>
            <w:r w:rsidR="008D48D3">
              <w:t xml:space="preserve">, </w:t>
            </w:r>
            <w:r w:rsidR="00465874">
              <w:t>Tyler Cox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90240A1" w:rsidR="008E7E8A" w:rsidRPr="00716986" w:rsidRDefault="00030F2C" w:rsidP="00465CE0">
            <w:hyperlink r:id="rId8" w:history="1">
              <w:r w:rsidR="00716986">
                <w:rPr>
                  <w:rStyle w:val="Hyperlink"/>
                </w:rPr>
                <w:t>https://wwcc-edu.zoom.us/j/89816966542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B88267F" w:rsidR="008D687C" w:rsidRPr="004F1A78" w:rsidRDefault="004F1A78" w:rsidP="008D687C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5D22EA4F" w:rsidR="008D687C" w:rsidRPr="00195D02" w:rsidRDefault="008D687C" w:rsidP="008D687C">
            <w:r>
              <w:t xml:space="preserve">Review vacancy analysis and discuss potential vacancy savings. Discuss the importance of establishing a position control process.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60580D68" w:rsidR="008D687C" w:rsidRPr="00DD6AFC" w:rsidRDefault="008D687C" w:rsidP="008D687C">
            <w:pPr>
              <w:pStyle w:val="ListParagraph"/>
              <w:ind w:left="0"/>
            </w:pPr>
            <w:r>
              <w:t>Review updated vacancy list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BB3FEAD" w:rsidR="00AF0DF3" w:rsidRPr="004F1A78" w:rsidRDefault="004F1A78" w:rsidP="00AF0DF3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15423BF1" w14:textId="77777777" w:rsidR="004F1A78" w:rsidRDefault="004F1A78" w:rsidP="00AF0DF3">
            <w:r>
              <w:t xml:space="preserve">Discuss the importance of establishing a position control process. </w:t>
            </w:r>
          </w:p>
          <w:p w14:paraId="2DCEF475" w14:textId="19C42814" w:rsidR="00AF0DF3" w:rsidRDefault="008D687C" w:rsidP="00AF0DF3">
            <w:r>
              <w:t>Discuss initiatives in progress to establish better position control</w:t>
            </w:r>
            <w:r w:rsidR="00BD6EC0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6C84181A" w14:textId="77777777" w:rsidR="004D640F" w:rsidRDefault="008D687C" w:rsidP="00DD6AFC">
            <w:pPr>
              <w:pStyle w:val="ListParagraph"/>
              <w:ind w:left="0"/>
            </w:pPr>
            <w:r>
              <w:t>Looking to peer colleges to see how staffing has changed as a result of ctcLink/how those levels have changed for the colleges in ctcLink longest</w:t>
            </w:r>
          </w:p>
          <w:p w14:paraId="0ED91321" w14:textId="77777777" w:rsidR="008D687C" w:rsidRDefault="008D687C" w:rsidP="00DD6AFC">
            <w:pPr>
              <w:pStyle w:val="ListParagraph"/>
              <w:ind w:left="0"/>
            </w:pPr>
          </w:p>
          <w:p w14:paraId="067A6FC4" w14:textId="77777777" w:rsidR="008D687C" w:rsidRDefault="008D48D3" w:rsidP="00DD6AFC">
            <w:pPr>
              <w:pStyle w:val="ListParagraph"/>
              <w:ind w:left="0"/>
            </w:pPr>
            <w:r>
              <w:t>Course section</w:t>
            </w:r>
            <w:r w:rsidR="008D687C">
              <w:t xml:space="preserve"> management and the impacts on personnel costs</w:t>
            </w:r>
          </w:p>
          <w:p w14:paraId="221E62AF" w14:textId="77777777" w:rsidR="004F1A78" w:rsidRDefault="004F1A78" w:rsidP="004F1A78">
            <w:pPr>
              <w:pStyle w:val="ListParagraph"/>
              <w:ind w:left="0"/>
            </w:pPr>
          </w:p>
          <w:p w14:paraId="7784F1F6" w14:textId="02BC9B0F" w:rsidR="004F1A78" w:rsidRDefault="004F1A78" w:rsidP="004F1A78">
            <w:pPr>
              <w:pStyle w:val="ListParagraph"/>
              <w:ind w:left="0"/>
            </w:pPr>
            <w:r>
              <w:t>Discuss “soft” hiring freeze and what that means</w:t>
            </w:r>
          </w:p>
        </w:tc>
      </w:tr>
      <w:tr w:rsidR="00E1705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0A09DA71" w:rsidR="00E17055" w:rsidRPr="004F1A78" w:rsidRDefault="004F1A78" w:rsidP="00AF0DF3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0DA5C6DB" w:rsidR="00E17055" w:rsidRDefault="008D687C" w:rsidP="00AF0DF3">
            <w:r>
              <w:t xml:space="preserve">Present “The Enrollment Cliff” and how it will </w:t>
            </w:r>
            <w:r w:rsidR="008D48D3">
              <w:t>affect</w:t>
            </w:r>
            <w:r>
              <w:t xml:space="preserve"> future enrollment in higher ed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2B743EDE" w:rsidR="004D640F" w:rsidRDefault="004D640F" w:rsidP="004D640F">
            <w:pPr>
              <w:pStyle w:val="ListParagraph"/>
              <w:ind w:left="0"/>
            </w:pPr>
          </w:p>
        </w:tc>
      </w:tr>
      <w:tr w:rsidR="001015E7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185A6623" w:rsidR="001015E7" w:rsidRDefault="001015E7" w:rsidP="00B335E3">
            <w:pPr>
              <w:jc w:val="center"/>
              <w:rPr>
                <w:b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651782BC" w14:textId="18954CDE" w:rsidR="001015E7" w:rsidRDefault="001015E7" w:rsidP="00B335E3"/>
        </w:tc>
        <w:tc>
          <w:tcPr>
            <w:tcW w:w="5679" w:type="dxa"/>
            <w:gridSpan w:val="4"/>
            <w:vAlign w:val="center"/>
          </w:tcPr>
          <w:p w14:paraId="51FF484D" w14:textId="62A9D0DD" w:rsidR="004F7002" w:rsidRDefault="004F7002" w:rsidP="004D640F"/>
        </w:tc>
      </w:tr>
      <w:tr w:rsidR="00AF0DF3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AF0DF3" w:rsidRPr="00465CE0" w:rsidRDefault="00AF0DF3" w:rsidP="00B335E3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4D183661" w:rsidR="00AF0DF3" w:rsidRDefault="008D687C" w:rsidP="00B335E3">
            <w:r>
              <w:t>4/12</w:t>
            </w:r>
            <w:r w:rsidR="0063055D">
              <w:t>/2023, 2:00-3:00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4034836B" w:rsidR="00391FE3" w:rsidRDefault="00030F2C" w:rsidP="004D640F">
            <w:r>
              <w:t>Introduce the topic of Program Review (instructional and non-instructional) and how it ties to the budget process and accreditation</w:t>
            </w:r>
          </w:p>
        </w:tc>
        <w:bookmarkStart w:id="0" w:name="_GoBack"/>
        <w:bookmarkEnd w:id="0"/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2026E8"/>
    <w:rsid w:val="00212924"/>
    <w:rsid w:val="002171DC"/>
    <w:rsid w:val="002256D6"/>
    <w:rsid w:val="00233485"/>
    <w:rsid w:val="00340FEC"/>
    <w:rsid w:val="00391227"/>
    <w:rsid w:val="00391FE3"/>
    <w:rsid w:val="003F020A"/>
    <w:rsid w:val="004004F3"/>
    <w:rsid w:val="00465874"/>
    <w:rsid w:val="00465CE0"/>
    <w:rsid w:val="004D2432"/>
    <w:rsid w:val="004D640F"/>
    <w:rsid w:val="004F1A78"/>
    <w:rsid w:val="004F7002"/>
    <w:rsid w:val="005102B3"/>
    <w:rsid w:val="00512316"/>
    <w:rsid w:val="0063055D"/>
    <w:rsid w:val="006511EE"/>
    <w:rsid w:val="00657505"/>
    <w:rsid w:val="00660920"/>
    <w:rsid w:val="006645A5"/>
    <w:rsid w:val="006E44B4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D25CB"/>
    <w:rsid w:val="00BD6EC0"/>
    <w:rsid w:val="00BE3EF4"/>
    <w:rsid w:val="00BF1D77"/>
    <w:rsid w:val="00BF5F5C"/>
    <w:rsid w:val="00C44809"/>
    <w:rsid w:val="00CC1A0D"/>
    <w:rsid w:val="00D16357"/>
    <w:rsid w:val="00D17B9E"/>
    <w:rsid w:val="00D3149C"/>
    <w:rsid w:val="00D4074F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9816966542&amp;data=05%7C01%7Clori.peterson%40wwcc.edu%7C8f16fa5a5d19487edb7308db1ab44129%7Ce7d34588679e4041a6e258174c25b17e%7C0%7C0%7C638133133722891589%7CUnknown%7CTWFpbGZsb3d8eyJWIjoiMC4wLjAwMDAiLCJQIjoiV2luMzIiLCJBTiI6Ik1haWwiLCJXVCI6Mn0%3D%7C3000%7C%7C%7C&amp;sdata=%2BwyOv3biSD7%2FthhnBkZ3OAKGGRTJ1e5RgqYRLCO8uD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purl.org/dc/dcmitype/"/>
    <ds:schemaRef ds:uri="c06e9f33-45ce-4a81-9f2e-c2949730042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8ccd238-f036-4b17-a247-40ae7320054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6</cp:revision>
  <cp:lastPrinted>2023-03-15T18:37:00Z</cp:lastPrinted>
  <dcterms:created xsi:type="dcterms:W3CDTF">2023-03-28T23:43:00Z</dcterms:created>
  <dcterms:modified xsi:type="dcterms:W3CDTF">2023-03-29T19:37:00Z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